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2902A1" w:rsidRDefault="002902A1" w:rsidP="002902A1">
      <w:pPr>
        <w:spacing w:after="0" w:line="480" w:lineRule="auto"/>
        <w:rPr>
          <w:rFonts w:ascii="Times New Roman" w:hAnsi="Times New Roman" w:cs="Times New Roman"/>
          <w:sz w:val="24"/>
          <w:szCs w:val="24"/>
        </w:rPr>
      </w:pPr>
    </w:p>
    <w:p w:rsidR="00520280" w:rsidRPr="002902A1" w:rsidRDefault="00520280" w:rsidP="002902A1">
      <w:pPr>
        <w:spacing w:after="0" w:line="480" w:lineRule="auto"/>
        <w:jc w:val="center"/>
        <w:rPr>
          <w:rFonts w:ascii="Times New Roman" w:hAnsi="Times New Roman" w:cs="Times New Roman"/>
          <w:sz w:val="24"/>
          <w:szCs w:val="24"/>
        </w:rPr>
      </w:pPr>
      <w:r w:rsidRPr="002902A1">
        <w:rPr>
          <w:rFonts w:ascii="Times New Roman" w:hAnsi="Times New Roman" w:cs="Times New Roman"/>
          <w:sz w:val="24"/>
          <w:szCs w:val="24"/>
        </w:rPr>
        <w:t>English Questions</w:t>
      </w:r>
    </w:p>
    <w:p w:rsidR="00520280" w:rsidRPr="002902A1" w:rsidRDefault="00520280" w:rsidP="002902A1">
      <w:pPr>
        <w:spacing w:after="0" w:line="480" w:lineRule="auto"/>
        <w:jc w:val="center"/>
        <w:rPr>
          <w:rFonts w:ascii="Times New Roman" w:hAnsi="Times New Roman" w:cs="Times New Roman"/>
          <w:sz w:val="24"/>
          <w:szCs w:val="24"/>
        </w:rPr>
      </w:pPr>
      <w:r w:rsidRPr="002902A1">
        <w:rPr>
          <w:rFonts w:ascii="Times New Roman" w:hAnsi="Times New Roman" w:cs="Times New Roman"/>
          <w:sz w:val="24"/>
          <w:szCs w:val="24"/>
        </w:rPr>
        <w:t>Name of Student</w:t>
      </w:r>
    </w:p>
    <w:p w:rsidR="00520280" w:rsidRPr="002902A1" w:rsidRDefault="00520280" w:rsidP="002902A1">
      <w:pPr>
        <w:spacing w:after="0" w:line="480" w:lineRule="auto"/>
        <w:jc w:val="center"/>
        <w:rPr>
          <w:rFonts w:ascii="Times New Roman" w:hAnsi="Times New Roman" w:cs="Times New Roman"/>
          <w:sz w:val="24"/>
          <w:szCs w:val="24"/>
        </w:rPr>
      </w:pPr>
      <w:r w:rsidRPr="002902A1">
        <w:rPr>
          <w:rFonts w:ascii="Times New Roman" w:hAnsi="Times New Roman" w:cs="Times New Roman"/>
          <w:sz w:val="24"/>
          <w:szCs w:val="24"/>
        </w:rPr>
        <w:t>Institution</w:t>
      </w: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2902A1" w:rsidRDefault="002902A1" w:rsidP="002902A1">
      <w:pPr>
        <w:spacing w:after="0" w:line="480" w:lineRule="auto"/>
        <w:jc w:val="center"/>
        <w:rPr>
          <w:rFonts w:ascii="Times New Roman" w:hAnsi="Times New Roman" w:cs="Times New Roman"/>
          <w:sz w:val="24"/>
          <w:szCs w:val="24"/>
        </w:rPr>
      </w:pPr>
    </w:p>
    <w:p w:rsidR="00520280" w:rsidRPr="002902A1" w:rsidRDefault="00520280" w:rsidP="002902A1">
      <w:pPr>
        <w:spacing w:after="0" w:line="480" w:lineRule="auto"/>
        <w:jc w:val="center"/>
        <w:rPr>
          <w:rFonts w:ascii="Times New Roman" w:hAnsi="Times New Roman" w:cs="Times New Roman"/>
          <w:sz w:val="24"/>
          <w:szCs w:val="24"/>
        </w:rPr>
      </w:pPr>
      <w:r w:rsidRPr="002902A1">
        <w:rPr>
          <w:rFonts w:ascii="Times New Roman" w:hAnsi="Times New Roman" w:cs="Times New Roman"/>
          <w:sz w:val="24"/>
          <w:szCs w:val="24"/>
        </w:rPr>
        <w:lastRenderedPageBreak/>
        <w:t>English Questions</w:t>
      </w:r>
    </w:p>
    <w:p w:rsidR="00520280" w:rsidRPr="002902A1" w:rsidRDefault="00520280" w:rsidP="002902A1">
      <w:pPr>
        <w:spacing w:after="0" w:line="480" w:lineRule="auto"/>
        <w:jc w:val="center"/>
        <w:rPr>
          <w:rFonts w:ascii="Times New Roman" w:hAnsi="Times New Roman" w:cs="Times New Roman"/>
          <w:b/>
          <w:sz w:val="24"/>
          <w:szCs w:val="24"/>
        </w:rPr>
      </w:pPr>
      <w:r w:rsidRPr="002902A1">
        <w:rPr>
          <w:rFonts w:ascii="Times New Roman" w:hAnsi="Times New Roman" w:cs="Times New Roman"/>
          <w:b/>
          <w:sz w:val="24"/>
          <w:szCs w:val="24"/>
        </w:rPr>
        <w:t>Elvis Presley Company versus Passport Video</w:t>
      </w:r>
    </w:p>
    <w:p w:rsidR="00520280" w:rsidRPr="002902A1" w:rsidRDefault="002902A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Copyright business is among the most lucrative businesses worldwide. This relates to the monetary value it has. Basically, copyright is the act of patenting certain sound, graphics, and video productions to be under the ownership of an individual or company. For any entity to want to use the copyrighted content they should seek permission and cover the expenses if asked to. The underlying message is that the copyrighted content can't just be reproduced exactly as it is was originally recorded by the copyright holder. All the regulations of copyrighting are in the Copyright chapter of the United States Constitution.</w:t>
      </w:r>
    </w:p>
    <w:p w:rsidR="00520280" w:rsidRPr="002902A1" w:rsidRDefault="002902A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In the Passport Video vs Elvis Presley Company case that was presented in the American District Court, Elvis Presley was suing Passport Video for having used some of its copyrighted content in it ‘definitive Elvis' video documentary. In rebuttal, Passport argued that it had aligned its production with the Fair Use clause of the Copyright stipulations. However, Passport's argument was unsubstantial because the Fair Use act stipulates that material that aims to gain defense from it should be non-commercial and it should strictly be used for purposes of comment, criticism, teaching, scholarship, research and news reporting. Out of all the content in dispute, Passport had only commented and no new information was added to the copied work apart from the voice-overs. Most of the content covered the commercial use and it evidently disrupted the market value of the copyrighted materials. This was done without the consent of the copyrighted holder and no monetary remuneration was ever done before and after the production of ‘Definitive Elvis'. This means that the Passport had infringed the property rights and it was culpable of defying the law.</w:t>
      </w:r>
    </w:p>
    <w:p w:rsidR="002902A1" w:rsidRDefault="002902A1" w:rsidP="002902A1">
      <w:pPr>
        <w:spacing w:after="0" w:line="480" w:lineRule="auto"/>
        <w:rPr>
          <w:rFonts w:ascii="Times New Roman" w:hAnsi="Times New Roman" w:cs="Times New Roman"/>
          <w:sz w:val="24"/>
          <w:szCs w:val="24"/>
        </w:rPr>
      </w:pPr>
    </w:p>
    <w:p w:rsidR="00520280" w:rsidRPr="002902A1" w:rsidRDefault="00520280" w:rsidP="002902A1">
      <w:pPr>
        <w:spacing w:after="0" w:line="480" w:lineRule="auto"/>
        <w:jc w:val="center"/>
        <w:rPr>
          <w:rFonts w:ascii="Times New Roman" w:hAnsi="Times New Roman" w:cs="Times New Roman"/>
          <w:sz w:val="24"/>
          <w:szCs w:val="24"/>
        </w:rPr>
      </w:pPr>
      <w:r w:rsidRPr="002902A1">
        <w:rPr>
          <w:rFonts w:ascii="Times New Roman" w:hAnsi="Times New Roman" w:cs="Times New Roman"/>
          <w:sz w:val="24"/>
          <w:szCs w:val="24"/>
        </w:rPr>
        <w:lastRenderedPageBreak/>
        <w:t>Reference</w:t>
      </w:r>
    </w:p>
    <w:p w:rsidR="00520280" w:rsidRPr="002902A1" w:rsidRDefault="00520280" w:rsidP="002902A1">
      <w:pPr>
        <w:spacing w:after="0" w:line="480" w:lineRule="auto"/>
        <w:rPr>
          <w:rFonts w:ascii="Times New Roman" w:hAnsi="Times New Roman" w:cs="Times New Roman"/>
          <w:sz w:val="24"/>
          <w:szCs w:val="24"/>
        </w:rPr>
      </w:pPr>
      <w:r w:rsidRPr="002902A1">
        <w:rPr>
          <w:rFonts w:ascii="Times New Roman" w:hAnsi="Times New Roman" w:cs="Times New Roman"/>
          <w:sz w:val="24"/>
          <w:szCs w:val="24"/>
        </w:rPr>
        <w:t>Elvis Presley Enterprises, Inc. v. Passport Video | 349 F 3d 622</w:t>
      </w:r>
      <w:r w:rsidR="002902A1">
        <w:rPr>
          <w:rFonts w:ascii="Times New Roman" w:hAnsi="Times New Roman" w:cs="Times New Roman"/>
          <w:sz w:val="24"/>
          <w:szCs w:val="24"/>
        </w:rPr>
        <w:t xml:space="preserve"> | November 06, 2003. Retrieved</w:t>
      </w:r>
      <w:r w:rsidR="002902A1">
        <w:rPr>
          <w:rFonts w:ascii="Times New Roman" w:hAnsi="Times New Roman" w:cs="Times New Roman"/>
          <w:sz w:val="24"/>
          <w:szCs w:val="24"/>
        </w:rPr>
        <w:tab/>
      </w:r>
      <w:r w:rsidRPr="002902A1">
        <w:rPr>
          <w:rFonts w:ascii="Times New Roman" w:hAnsi="Times New Roman" w:cs="Times New Roman"/>
          <w:sz w:val="24"/>
          <w:szCs w:val="24"/>
        </w:rPr>
        <w:t>from; https://h2o.law.harvard.edu/cases/5134</w:t>
      </w:r>
    </w:p>
    <w:p w:rsidR="00520280" w:rsidRPr="002902A1" w:rsidRDefault="00520280" w:rsidP="002902A1">
      <w:pPr>
        <w:spacing w:after="0" w:line="480" w:lineRule="auto"/>
        <w:rPr>
          <w:rFonts w:ascii="Times New Roman" w:hAnsi="Times New Roman" w:cs="Times New Roman"/>
          <w:sz w:val="24"/>
          <w:szCs w:val="24"/>
        </w:rPr>
      </w:pPr>
    </w:p>
    <w:p w:rsidR="00520280" w:rsidRPr="002902A1" w:rsidRDefault="00520280" w:rsidP="002902A1">
      <w:pPr>
        <w:spacing w:after="0" w:line="480" w:lineRule="auto"/>
        <w:jc w:val="center"/>
        <w:rPr>
          <w:rFonts w:ascii="Times New Roman" w:hAnsi="Times New Roman" w:cs="Times New Roman"/>
          <w:b/>
          <w:sz w:val="24"/>
          <w:szCs w:val="24"/>
        </w:rPr>
      </w:pPr>
      <w:r w:rsidRPr="002902A1">
        <w:rPr>
          <w:rFonts w:ascii="Times New Roman" w:hAnsi="Times New Roman" w:cs="Times New Roman"/>
          <w:b/>
          <w:sz w:val="24"/>
          <w:szCs w:val="24"/>
        </w:rPr>
        <w:t>Recording Industry Association of America versus LimeWire</w:t>
      </w:r>
    </w:p>
    <w:p w:rsidR="00520280" w:rsidRPr="002902A1" w:rsidRDefault="002902A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The Recording Industry Association of America (RIAA) versus LimeWire Company is among the most famous cases in the entertainment industry because it was an enjoinment of multiple record labels against a software company. Facts of the case we that LimeWire had introduced a software application that enabled its users to send and initiate a peer-to-peer music file downloads. According to RIAA, this was copyright infringement because the music distributed had been copyrighted. An analysis of the fact of the case done by Doctor Waterman revealed by 98% of distributed content was copyrighted. Another fact was that LimeWire had not asked for approval from the copyright holder companies and not offered any kind of remuneration after the distribution. Files retrieved from the LimeWire Company showed that it knew of the copyright infringement committed by its users and no protective measures were taken to stop the act. Malpractice was detected when the business operations of LimeWire were analyzed; when LimeWire unveiled its own digital music store, it barred its customers from sending them to each other through the peer-to-peer means. This means that the company had the capability to stop the infringement but it opted to overlook it.</w:t>
      </w:r>
    </w:p>
    <w:p w:rsidR="00520280" w:rsidRPr="002902A1" w:rsidRDefault="002902A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 xml:space="preserve">The professional analyses of the facts then answered the question of law that asked if the LimeWire knew about the copyright infringement. Another question was if LimeWire was capable of stopping the malpractice in the entertainment industry. All the fair use compromises of the copyright act had been breached and Judge Wood found LimeWire culpable of the </w:t>
      </w:r>
      <w:r w:rsidR="00520280" w:rsidRPr="002902A1">
        <w:rPr>
          <w:rFonts w:ascii="Times New Roman" w:hAnsi="Times New Roman" w:cs="Times New Roman"/>
          <w:sz w:val="24"/>
          <w:szCs w:val="24"/>
        </w:rPr>
        <w:lastRenderedPageBreak/>
        <w:t xml:space="preserve">accused crime. The ruling was completely fair because the evidence against LimeWire was immense and the gravity of the matter concerned a large population base. </w:t>
      </w:r>
    </w:p>
    <w:p w:rsidR="00520280" w:rsidRPr="002902A1" w:rsidRDefault="00520280" w:rsidP="002902A1">
      <w:pPr>
        <w:spacing w:after="0" w:line="480" w:lineRule="auto"/>
        <w:rPr>
          <w:rFonts w:ascii="Times New Roman" w:hAnsi="Times New Roman" w:cs="Times New Roman"/>
          <w:sz w:val="24"/>
          <w:szCs w:val="24"/>
        </w:rPr>
      </w:pPr>
      <w:proofErr w:type="spellStart"/>
      <w:r w:rsidRPr="002902A1">
        <w:rPr>
          <w:rFonts w:ascii="Times New Roman" w:hAnsi="Times New Roman" w:cs="Times New Roman"/>
          <w:sz w:val="24"/>
          <w:szCs w:val="24"/>
        </w:rPr>
        <w:t>Gemmell</w:t>
      </w:r>
      <w:proofErr w:type="spellEnd"/>
      <w:r w:rsidRPr="002902A1">
        <w:rPr>
          <w:rFonts w:ascii="Times New Roman" w:hAnsi="Times New Roman" w:cs="Times New Roman"/>
          <w:sz w:val="24"/>
          <w:szCs w:val="24"/>
        </w:rPr>
        <w:t>, N. (2016). Piracy on Peer-to-Peer File Sharing Net</w:t>
      </w:r>
      <w:r w:rsidR="002902A1">
        <w:rPr>
          <w:rFonts w:ascii="Times New Roman" w:hAnsi="Times New Roman" w:cs="Times New Roman"/>
          <w:sz w:val="24"/>
          <w:szCs w:val="24"/>
        </w:rPr>
        <w:t>works: Why a Streamlined Online</w:t>
      </w:r>
      <w:r w:rsidR="002902A1">
        <w:rPr>
          <w:rFonts w:ascii="Times New Roman" w:hAnsi="Times New Roman" w:cs="Times New Roman"/>
          <w:sz w:val="24"/>
          <w:szCs w:val="24"/>
        </w:rPr>
        <w:tab/>
      </w:r>
      <w:r w:rsidRPr="002902A1">
        <w:rPr>
          <w:rFonts w:ascii="Times New Roman" w:hAnsi="Times New Roman" w:cs="Times New Roman"/>
          <w:sz w:val="24"/>
          <w:szCs w:val="24"/>
        </w:rPr>
        <w:t xml:space="preserve">Dispute Resolution System Should Not Be Forgotten in the Shadow of a Federal Small </w:t>
      </w:r>
      <w:r w:rsidR="002902A1">
        <w:rPr>
          <w:rFonts w:ascii="Times New Roman" w:hAnsi="Times New Roman" w:cs="Times New Roman"/>
          <w:sz w:val="24"/>
          <w:szCs w:val="24"/>
        </w:rPr>
        <w:tab/>
      </w:r>
      <w:r w:rsidRPr="002902A1">
        <w:rPr>
          <w:rFonts w:ascii="Times New Roman" w:hAnsi="Times New Roman" w:cs="Times New Roman"/>
          <w:sz w:val="24"/>
          <w:szCs w:val="24"/>
        </w:rPr>
        <w:t xml:space="preserve">Claims Tribunal. </w:t>
      </w:r>
      <w:proofErr w:type="spellStart"/>
      <w:r w:rsidRPr="002902A1">
        <w:rPr>
          <w:rFonts w:ascii="Times New Roman" w:hAnsi="Times New Roman" w:cs="Times New Roman"/>
          <w:sz w:val="24"/>
          <w:szCs w:val="24"/>
        </w:rPr>
        <w:t>Pepp</w:t>
      </w:r>
      <w:proofErr w:type="spellEnd"/>
      <w:r w:rsidRPr="002902A1">
        <w:rPr>
          <w:rFonts w:ascii="Times New Roman" w:hAnsi="Times New Roman" w:cs="Times New Roman"/>
          <w:sz w:val="24"/>
          <w:szCs w:val="24"/>
        </w:rPr>
        <w:t xml:space="preserve">. Disp. </w:t>
      </w:r>
      <w:proofErr w:type="spellStart"/>
      <w:r w:rsidRPr="002902A1">
        <w:rPr>
          <w:rFonts w:ascii="Times New Roman" w:hAnsi="Times New Roman" w:cs="Times New Roman"/>
          <w:sz w:val="24"/>
          <w:szCs w:val="24"/>
        </w:rPr>
        <w:t>Resol</w:t>
      </w:r>
      <w:proofErr w:type="spellEnd"/>
      <w:r w:rsidRPr="002902A1">
        <w:rPr>
          <w:rFonts w:ascii="Times New Roman" w:hAnsi="Times New Roman" w:cs="Times New Roman"/>
          <w:sz w:val="24"/>
          <w:szCs w:val="24"/>
        </w:rPr>
        <w:t>. LJ, 16, 113.</w:t>
      </w:r>
    </w:p>
    <w:p w:rsidR="002902A1" w:rsidRDefault="002902A1" w:rsidP="002902A1">
      <w:pPr>
        <w:spacing w:after="0" w:line="480" w:lineRule="auto"/>
        <w:rPr>
          <w:rFonts w:ascii="Times New Roman" w:hAnsi="Times New Roman" w:cs="Times New Roman"/>
          <w:sz w:val="24"/>
          <w:szCs w:val="24"/>
        </w:rPr>
      </w:pPr>
    </w:p>
    <w:p w:rsidR="00520280" w:rsidRPr="002902A1" w:rsidRDefault="00520280" w:rsidP="002902A1">
      <w:pPr>
        <w:spacing w:after="0" w:line="480" w:lineRule="auto"/>
        <w:jc w:val="center"/>
        <w:rPr>
          <w:rFonts w:ascii="Times New Roman" w:hAnsi="Times New Roman" w:cs="Times New Roman"/>
          <w:b/>
          <w:sz w:val="24"/>
          <w:szCs w:val="24"/>
        </w:rPr>
      </w:pPr>
      <w:r w:rsidRPr="002902A1">
        <w:rPr>
          <w:rFonts w:ascii="Times New Roman" w:hAnsi="Times New Roman" w:cs="Times New Roman"/>
          <w:b/>
          <w:sz w:val="24"/>
          <w:szCs w:val="24"/>
        </w:rPr>
        <w:t>Cultural competence</w:t>
      </w:r>
    </w:p>
    <w:p w:rsidR="00520280" w:rsidRPr="002902A1" w:rsidRDefault="002902A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 xml:space="preserve">Cultural coherence is one of the most basic dynamics that business should invest in. before the inception of new products and services, rebranding or even creating the employee handbooks, there must be precise research on the communities around the business. This ensures that the new business shift aligns to the needs and norms of the cultures of the society. Sometimes a society may have a conglomerate of many cultures, in this scenario. The best option would be to design the new shift to meet most of the cultural norms or just align to the norms of the targeted faction of the society. Failure to abide by these considerations leads to immense losses if not a total failure of the product. In 2015 ‘Pringles' a US-based snack company unveiled the smokey bacon flavored chips on the eve of Ramadhan; Muslim fasting month, and wrote on it ‘Ramadhan Mubarak'. Moreover, it placed a snack stand in front of the East London Mosque. This is one of the blunders it always regrets. </w:t>
      </w:r>
    </w:p>
    <w:p w:rsidR="00520280" w:rsidRPr="002902A1" w:rsidRDefault="002902A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To resolve the problem I would have shifted the marketing strategy to suit the Muslim Culture after a public apology. Second I would change the advert mantra to ‘Ramadhan Karim'; which is the correct slogan</w:t>
      </w:r>
      <w:r w:rsidR="00520280" w:rsidRPr="002902A1">
        <w:rPr>
          <w:rFonts w:ascii="Times New Roman" w:hAnsi="Times New Roman" w:cs="Times New Roman"/>
          <w:sz w:val="24"/>
          <w:szCs w:val="24"/>
        </w:rPr>
        <w:t xml:space="preserve"> (Ang &amp; Van Dyne, 2015)</w:t>
      </w:r>
      <w:r w:rsidR="00520280" w:rsidRPr="002902A1">
        <w:rPr>
          <w:rFonts w:ascii="Times New Roman" w:hAnsi="Times New Roman" w:cs="Times New Roman"/>
          <w:sz w:val="24"/>
          <w:szCs w:val="24"/>
        </w:rPr>
        <w:t>. By extension, I would have distributed some snacks to the Muslim community to extend the apology and market the product directly. This would have been done by hiring a famous Muslim musician to run the campaign</w:t>
      </w:r>
      <w:r w:rsidR="00520280" w:rsidRPr="002902A1">
        <w:rPr>
          <w:rFonts w:ascii="Times New Roman" w:hAnsi="Times New Roman" w:cs="Times New Roman"/>
          <w:sz w:val="24"/>
          <w:szCs w:val="24"/>
        </w:rPr>
        <w:t xml:space="preserve"> (Stahl &amp; </w:t>
      </w:r>
      <w:r w:rsidR="00520280" w:rsidRPr="002902A1">
        <w:rPr>
          <w:rFonts w:ascii="Times New Roman" w:hAnsi="Times New Roman" w:cs="Times New Roman"/>
          <w:sz w:val="24"/>
          <w:szCs w:val="24"/>
        </w:rPr>
        <w:lastRenderedPageBreak/>
        <w:t>Tung, 2015)</w:t>
      </w:r>
      <w:r w:rsidR="00520280" w:rsidRPr="002902A1">
        <w:rPr>
          <w:rFonts w:ascii="Times New Roman" w:hAnsi="Times New Roman" w:cs="Times New Roman"/>
          <w:sz w:val="24"/>
          <w:szCs w:val="24"/>
        </w:rPr>
        <w:t>. To prevent such occurrences I would have created a team to always study the cultural dynamics of a demographic before I launch a new product to them.</w:t>
      </w:r>
    </w:p>
    <w:p w:rsidR="00520280" w:rsidRPr="002902A1" w:rsidRDefault="00520280" w:rsidP="002902A1">
      <w:pPr>
        <w:spacing w:after="0" w:line="480" w:lineRule="auto"/>
        <w:jc w:val="center"/>
        <w:rPr>
          <w:rFonts w:ascii="Times New Roman" w:hAnsi="Times New Roman" w:cs="Times New Roman"/>
          <w:sz w:val="24"/>
          <w:szCs w:val="24"/>
        </w:rPr>
      </w:pPr>
      <w:r w:rsidRPr="002902A1">
        <w:rPr>
          <w:rFonts w:ascii="Times New Roman" w:hAnsi="Times New Roman" w:cs="Times New Roman"/>
          <w:sz w:val="24"/>
          <w:szCs w:val="24"/>
        </w:rPr>
        <w:t>References</w:t>
      </w:r>
    </w:p>
    <w:p w:rsidR="00520280" w:rsidRPr="002902A1" w:rsidRDefault="00520280" w:rsidP="002902A1">
      <w:pPr>
        <w:spacing w:after="0" w:line="480" w:lineRule="auto"/>
        <w:rPr>
          <w:rFonts w:ascii="Times New Roman" w:hAnsi="Times New Roman" w:cs="Times New Roman"/>
          <w:sz w:val="24"/>
          <w:szCs w:val="24"/>
        </w:rPr>
      </w:pPr>
      <w:r w:rsidRPr="002902A1">
        <w:rPr>
          <w:rFonts w:ascii="Times New Roman" w:hAnsi="Times New Roman" w:cs="Times New Roman"/>
          <w:sz w:val="24"/>
          <w:szCs w:val="24"/>
        </w:rPr>
        <w:t>Stahl, G. K., &amp; Tung, R. L. (2015). Towards a more b</w:t>
      </w:r>
      <w:r w:rsidR="00A929B1">
        <w:rPr>
          <w:rFonts w:ascii="Times New Roman" w:hAnsi="Times New Roman" w:cs="Times New Roman"/>
          <w:sz w:val="24"/>
          <w:szCs w:val="24"/>
        </w:rPr>
        <w:t>alanced treatment of culture in</w:t>
      </w:r>
      <w:r w:rsidR="00A929B1">
        <w:rPr>
          <w:rFonts w:ascii="Times New Roman" w:hAnsi="Times New Roman" w:cs="Times New Roman"/>
          <w:sz w:val="24"/>
          <w:szCs w:val="24"/>
        </w:rPr>
        <w:tab/>
      </w:r>
      <w:r w:rsidRPr="002902A1">
        <w:rPr>
          <w:rFonts w:ascii="Times New Roman" w:hAnsi="Times New Roman" w:cs="Times New Roman"/>
          <w:sz w:val="24"/>
          <w:szCs w:val="24"/>
        </w:rPr>
        <w:t>international business studies: The need for positive cross-c</w:t>
      </w:r>
      <w:r w:rsidR="00A929B1">
        <w:rPr>
          <w:rFonts w:ascii="Times New Roman" w:hAnsi="Times New Roman" w:cs="Times New Roman"/>
          <w:sz w:val="24"/>
          <w:szCs w:val="24"/>
        </w:rPr>
        <w:t>ultural scholarship. Journal of</w:t>
      </w:r>
      <w:r w:rsidR="00A929B1">
        <w:rPr>
          <w:rFonts w:ascii="Times New Roman" w:hAnsi="Times New Roman" w:cs="Times New Roman"/>
          <w:sz w:val="24"/>
          <w:szCs w:val="24"/>
        </w:rPr>
        <w:tab/>
      </w:r>
      <w:r w:rsidRPr="002902A1">
        <w:rPr>
          <w:rFonts w:ascii="Times New Roman" w:hAnsi="Times New Roman" w:cs="Times New Roman"/>
          <w:sz w:val="24"/>
          <w:szCs w:val="24"/>
        </w:rPr>
        <w:t>International Business Studies, 46(4), 391-414.</w:t>
      </w:r>
    </w:p>
    <w:p w:rsidR="00520280" w:rsidRPr="002902A1" w:rsidRDefault="00520280" w:rsidP="002902A1">
      <w:pPr>
        <w:spacing w:after="0" w:line="480" w:lineRule="auto"/>
        <w:rPr>
          <w:rFonts w:ascii="Times New Roman" w:hAnsi="Times New Roman" w:cs="Times New Roman"/>
          <w:sz w:val="24"/>
          <w:szCs w:val="24"/>
        </w:rPr>
      </w:pPr>
      <w:r w:rsidRPr="002902A1">
        <w:rPr>
          <w:rFonts w:ascii="Times New Roman" w:hAnsi="Times New Roman" w:cs="Times New Roman"/>
          <w:sz w:val="24"/>
          <w:szCs w:val="24"/>
        </w:rPr>
        <w:t>Ang, S., &amp; Van Dyne, L. (2015). Handbook of cultural intelligence. Routledge.</w:t>
      </w:r>
    </w:p>
    <w:p w:rsidR="00520280" w:rsidRPr="002902A1" w:rsidRDefault="00520280" w:rsidP="002902A1">
      <w:pPr>
        <w:spacing w:after="0" w:line="480" w:lineRule="auto"/>
        <w:rPr>
          <w:rFonts w:ascii="Times New Roman" w:hAnsi="Times New Roman" w:cs="Times New Roman"/>
          <w:sz w:val="24"/>
          <w:szCs w:val="24"/>
        </w:rPr>
      </w:pPr>
    </w:p>
    <w:p w:rsidR="00520280" w:rsidRPr="00A929B1" w:rsidRDefault="00A929B1" w:rsidP="00A929B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Chief Seattle's L</w:t>
      </w:r>
      <w:r w:rsidR="00520280" w:rsidRPr="00A929B1">
        <w:rPr>
          <w:rFonts w:ascii="Times New Roman" w:hAnsi="Times New Roman" w:cs="Times New Roman"/>
          <w:b/>
          <w:sz w:val="24"/>
          <w:szCs w:val="24"/>
        </w:rPr>
        <w:t>etter to President Pierce- 1855</w:t>
      </w:r>
    </w:p>
    <w:p w:rsidR="00520280" w:rsidRPr="002902A1" w:rsidRDefault="00A929B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 xml:space="preserve">Chief Seattle's letter to President Pierce in 1855 is among the most famous letters in American history. Though the original copy was not stored, its theme of heroism and spirituality still reigns in political and social circles. From the content it held, the letter is classified in the legendary and epic genre. Basically, the letter was a reply to President Pierce after he presented the idea of buying communal land in the north; occupies the vast jurisdiction of the Present Seattle. This was the land that Chief Seattle and his community resided in. the contents of the letter are deeply spiritual and Seattle accepted the offer of selling the northern land to the federal government of the United States of America. </w:t>
      </w:r>
    </w:p>
    <w:p w:rsidR="00EC4194" w:rsidRPr="002902A1" w:rsidRDefault="00A929B1" w:rsidP="002902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0280" w:rsidRPr="002902A1">
        <w:rPr>
          <w:rFonts w:ascii="Times New Roman" w:hAnsi="Times New Roman" w:cs="Times New Roman"/>
          <w:sz w:val="24"/>
          <w:szCs w:val="24"/>
        </w:rPr>
        <w:t xml:space="preserve">The precision of the physical chapters it held is not factual since their original copy is untraceable. Literally, it can be divided into three chapters. First, he accepted the greetings from the president and gifts he had sent then he speaks the truth as his communities see it. The second part fills most of the letter. He talks about the connection between man and the land and how the connection is important to the survival of both. Most of the words are filled with unique wisdom. He accepts the offer due to the inevitability that if he doesn't his whole community will be </w:t>
      </w:r>
      <w:r w:rsidR="00520280" w:rsidRPr="002902A1">
        <w:rPr>
          <w:rFonts w:ascii="Times New Roman" w:hAnsi="Times New Roman" w:cs="Times New Roman"/>
          <w:sz w:val="24"/>
          <w:szCs w:val="24"/>
        </w:rPr>
        <w:lastRenderedPageBreak/>
        <w:t>attacked and ensl</w:t>
      </w:r>
      <w:bookmarkStart w:id="0" w:name="_GoBack"/>
      <w:bookmarkEnd w:id="0"/>
      <w:r w:rsidR="00520280" w:rsidRPr="002902A1">
        <w:rPr>
          <w:rFonts w:ascii="Times New Roman" w:hAnsi="Times New Roman" w:cs="Times New Roman"/>
          <w:sz w:val="24"/>
          <w:szCs w:val="24"/>
        </w:rPr>
        <w:t xml:space="preserve">aved. The letter is legendary because Chief Seattle spoke the truth to his senior, </w:t>
      </w:r>
      <w:r w:rsidRPr="002902A1">
        <w:rPr>
          <w:rFonts w:ascii="Times New Roman" w:hAnsi="Times New Roman" w:cs="Times New Roman"/>
          <w:sz w:val="24"/>
          <w:szCs w:val="24"/>
        </w:rPr>
        <w:t>President</w:t>
      </w:r>
      <w:r w:rsidR="00520280" w:rsidRPr="002902A1">
        <w:rPr>
          <w:rFonts w:ascii="Times New Roman" w:hAnsi="Times New Roman" w:cs="Times New Roman"/>
          <w:sz w:val="24"/>
          <w:szCs w:val="24"/>
        </w:rPr>
        <w:t xml:space="preserve"> Pierce; whom he called ‘The Great Chief'</w:t>
      </w:r>
    </w:p>
    <w:p w:rsidR="002902A1" w:rsidRPr="002902A1" w:rsidRDefault="002902A1" w:rsidP="00A929B1">
      <w:pPr>
        <w:spacing w:after="0" w:line="480" w:lineRule="auto"/>
        <w:jc w:val="center"/>
        <w:rPr>
          <w:rFonts w:ascii="Times New Roman" w:hAnsi="Times New Roman" w:cs="Times New Roman"/>
          <w:sz w:val="24"/>
          <w:szCs w:val="24"/>
        </w:rPr>
      </w:pPr>
      <w:r w:rsidRPr="002902A1">
        <w:rPr>
          <w:rFonts w:ascii="Times New Roman" w:hAnsi="Times New Roman" w:cs="Times New Roman"/>
          <w:sz w:val="24"/>
          <w:szCs w:val="24"/>
        </w:rPr>
        <w:t>Reference</w:t>
      </w:r>
    </w:p>
    <w:p w:rsidR="002902A1" w:rsidRPr="002902A1" w:rsidRDefault="002902A1" w:rsidP="002902A1">
      <w:pPr>
        <w:spacing w:after="0" w:line="480" w:lineRule="auto"/>
        <w:rPr>
          <w:rFonts w:ascii="Times New Roman" w:hAnsi="Times New Roman" w:cs="Times New Roman"/>
          <w:sz w:val="24"/>
          <w:szCs w:val="24"/>
        </w:rPr>
      </w:pPr>
      <w:r w:rsidRPr="002902A1">
        <w:rPr>
          <w:rFonts w:ascii="Times New Roman" w:hAnsi="Times New Roman" w:cs="Times New Roman"/>
          <w:sz w:val="24"/>
          <w:szCs w:val="24"/>
        </w:rPr>
        <w:t>Seattle, Chief. Letter to Presiden</w:t>
      </w:r>
      <w:r w:rsidR="00A929B1">
        <w:rPr>
          <w:rFonts w:ascii="Times New Roman" w:hAnsi="Times New Roman" w:cs="Times New Roman"/>
          <w:sz w:val="24"/>
          <w:szCs w:val="24"/>
        </w:rPr>
        <w:t>t Pierce. 1855. Retrieved from:</w:t>
      </w:r>
      <w:r w:rsidR="00A929B1">
        <w:rPr>
          <w:rFonts w:ascii="Times New Roman" w:hAnsi="Times New Roman" w:cs="Times New Roman"/>
          <w:sz w:val="24"/>
          <w:szCs w:val="24"/>
        </w:rPr>
        <w:tab/>
      </w:r>
      <w:hyperlink r:id="rId6" w:history="1">
        <w:r w:rsidR="00A929B1" w:rsidRPr="00FE00A6">
          <w:rPr>
            <w:rStyle w:val="Hyperlink"/>
            <w:rFonts w:ascii="Times New Roman" w:hAnsi="Times New Roman" w:cs="Times New Roman"/>
            <w:sz w:val="24"/>
            <w:szCs w:val="24"/>
          </w:rPr>
          <w:t>https://craftx.org/sites/all/themes/craft_blue/pdf/Readers_Analysis_Letter_to_President</w:t>
        </w:r>
      </w:hyperlink>
      <w:r w:rsidR="00A929B1">
        <w:rPr>
          <w:rFonts w:ascii="Times New Roman" w:hAnsi="Times New Roman" w:cs="Times New Roman"/>
          <w:sz w:val="24"/>
          <w:szCs w:val="24"/>
        </w:rPr>
        <w:tab/>
      </w:r>
      <w:r w:rsidRPr="002902A1">
        <w:rPr>
          <w:rFonts w:ascii="Times New Roman" w:hAnsi="Times New Roman" w:cs="Times New Roman"/>
          <w:sz w:val="24"/>
          <w:szCs w:val="24"/>
        </w:rPr>
        <w:t>Pierce_from_Chief_Seattle_p10.pdf</w:t>
      </w:r>
    </w:p>
    <w:sectPr w:rsidR="002902A1" w:rsidRPr="002902A1" w:rsidSect="00A929B1">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CFC" w:rsidRDefault="00B12CFC" w:rsidP="00A929B1">
      <w:pPr>
        <w:spacing w:after="0" w:line="240" w:lineRule="auto"/>
      </w:pPr>
      <w:r>
        <w:separator/>
      </w:r>
    </w:p>
  </w:endnote>
  <w:endnote w:type="continuationSeparator" w:id="0">
    <w:p w:rsidR="00B12CFC" w:rsidRDefault="00B12CFC" w:rsidP="00A92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CFC" w:rsidRDefault="00B12CFC" w:rsidP="00A929B1">
      <w:pPr>
        <w:spacing w:after="0" w:line="240" w:lineRule="auto"/>
      </w:pPr>
      <w:r>
        <w:separator/>
      </w:r>
    </w:p>
  </w:footnote>
  <w:footnote w:type="continuationSeparator" w:id="0">
    <w:p w:rsidR="00B12CFC" w:rsidRDefault="00B12CFC" w:rsidP="00A92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FD60995AFCD64B6C8AC6F02B551907B4"/>
      </w:placeholder>
      <w:temporary/>
      <w:showingPlcHdr/>
      <w15:appearance w15:val="hidden"/>
    </w:sdtPr>
    <w:sdtContent>
      <w:p w:rsidR="00A929B1" w:rsidRDefault="00A929B1">
        <w:pPr>
          <w:pStyle w:val="Header"/>
        </w:pPr>
        <w:r>
          <w:t>[Type here]</w:t>
        </w:r>
      </w:p>
    </w:sdtContent>
  </w:sdt>
  <w:p w:rsidR="00A929B1" w:rsidRDefault="00A929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2E7"/>
    <w:rsid w:val="001B39FF"/>
    <w:rsid w:val="002902A1"/>
    <w:rsid w:val="00474839"/>
    <w:rsid w:val="004C30B5"/>
    <w:rsid w:val="00520280"/>
    <w:rsid w:val="008C233B"/>
    <w:rsid w:val="00974FCA"/>
    <w:rsid w:val="009F5F2A"/>
    <w:rsid w:val="00A817ED"/>
    <w:rsid w:val="00A929B1"/>
    <w:rsid w:val="00AD0DDF"/>
    <w:rsid w:val="00B12CFC"/>
    <w:rsid w:val="00BF32E7"/>
    <w:rsid w:val="00D428F5"/>
    <w:rsid w:val="00EC4194"/>
    <w:rsid w:val="00EE058E"/>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945358-F15D-4D1A-9AFF-9873B6F83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4839"/>
    <w:rPr>
      <w:color w:val="0563C1" w:themeColor="hyperlink"/>
      <w:u w:val="single"/>
    </w:rPr>
  </w:style>
  <w:style w:type="paragraph" w:styleId="Header">
    <w:name w:val="header"/>
    <w:basedOn w:val="Normal"/>
    <w:link w:val="HeaderChar"/>
    <w:uiPriority w:val="99"/>
    <w:unhideWhenUsed/>
    <w:rsid w:val="00A92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9B1"/>
  </w:style>
  <w:style w:type="paragraph" w:styleId="Footer">
    <w:name w:val="footer"/>
    <w:basedOn w:val="Normal"/>
    <w:link w:val="FooterChar"/>
    <w:uiPriority w:val="99"/>
    <w:unhideWhenUsed/>
    <w:rsid w:val="00A92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aftx.org/sites/all/themes/craft_blue/pdf/Readers_Analysis_Letter_to_Presid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D60995AFCD64B6C8AC6F02B551907B4"/>
        <w:category>
          <w:name w:val="General"/>
          <w:gallery w:val="placeholder"/>
        </w:category>
        <w:types>
          <w:type w:val="bbPlcHdr"/>
        </w:types>
        <w:behaviors>
          <w:behavior w:val="content"/>
        </w:behaviors>
        <w:guid w:val="{645CCA55-AA49-4166-A326-32100B520B8D}"/>
      </w:docPartPr>
      <w:docPartBody>
        <w:p w:rsidR="00000000" w:rsidRDefault="0065033C" w:rsidP="0065033C">
          <w:pPr>
            <w:pStyle w:val="FD60995AFCD64B6C8AC6F02B551907B4"/>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33C"/>
    <w:rsid w:val="0065033C"/>
    <w:rsid w:val="00DE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60995AFCD64B6C8AC6F02B551907B4">
    <w:name w:val="FD60995AFCD64B6C8AC6F02B551907B4"/>
    <w:rsid w:val="006503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2019-01-27T07:00:00Z</dcterms:created>
  <dcterms:modified xsi:type="dcterms:W3CDTF">2019-01-27T10:22:00Z</dcterms:modified>
</cp:coreProperties>
</file>